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1FC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ВІННИЦЬКИЙ НАЦІОНАЛЬНИЙ МЕДИЧНИЙ УНІВЕРСИТЕТ</w:t>
      </w:r>
    </w:p>
    <w:p w:rsidR="00B311FC" w:rsidRPr="00B87D82" w:rsidRDefault="00046A75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м.</w:t>
      </w:r>
      <w:r w:rsidR="00B311FC">
        <w:rPr>
          <w:rFonts w:ascii="Times New Roman" w:hAnsi="Times New Roman" w:cs="Times New Roman"/>
          <w:b/>
          <w:sz w:val="24"/>
          <w:szCs w:val="24"/>
        </w:rPr>
        <w:t xml:space="preserve"> М.І. ПИРОГОВА</w:t>
      </w: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D6960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D6960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52F76">
        <w:rPr>
          <w:rFonts w:ascii="Times New Roman" w:hAnsi="Times New Roman" w:cs="Times New Roman"/>
          <w:b/>
          <w:sz w:val="40"/>
          <w:szCs w:val="40"/>
        </w:rPr>
        <w:t>ІНТЕРНАТУРА</w:t>
      </w:r>
    </w:p>
    <w:p w:rsidR="00B311FC" w:rsidRPr="00B87D82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˝ДИТЯЧА ХІРУРГІЯ˝</w:t>
      </w: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D6960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B311FC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52F76">
        <w:rPr>
          <w:rFonts w:ascii="Times New Roman" w:hAnsi="Times New Roman" w:cs="Times New Roman"/>
          <w:b/>
          <w:sz w:val="56"/>
          <w:szCs w:val="56"/>
        </w:rPr>
        <w:t>Лекція</w:t>
      </w:r>
      <w:r>
        <w:rPr>
          <w:rFonts w:ascii="Times New Roman" w:hAnsi="Times New Roman" w:cs="Times New Roman"/>
          <w:b/>
          <w:sz w:val="52"/>
          <w:szCs w:val="52"/>
        </w:rPr>
        <w:t xml:space="preserve">: </w:t>
      </w:r>
      <w:r w:rsidRPr="00B311FC">
        <w:rPr>
          <w:rFonts w:ascii="Times New Roman" w:hAnsi="Times New Roman" w:cs="Times New Roman"/>
          <w:b/>
          <w:sz w:val="40"/>
          <w:szCs w:val="40"/>
        </w:rPr>
        <w:t>Стенози пілоричного відділу шлунку (після опіків, виразок шлунку та 12-палої кишки). Гіпертрофічний пілоростеноз</w:t>
      </w:r>
    </w:p>
    <w:p w:rsidR="00B311FC" w:rsidRPr="00D52F76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Pr="00D52F76" w:rsidRDefault="00B311FC" w:rsidP="00B311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311FC" w:rsidRDefault="00B311FC" w:rsidP="00B311FC">
      <w:pPr>
        <w:rPr>
          <w:rFonts w:ascii="Times New Roman" w:hAnsi="Times New Roman" w:cs="Times New Roman"/>
          <w:b/>
          <w:sz w:val="28"/>
          <w:szCs w:val="28"/>
        </w:rPr>
      </w:pPr>
    </w:p>
    <w:p w:rsidR="00B311FC" w:rsidRDefault="00B311FC" w:rsidP="00B311FC">
      <w:pPr>
        <w:rPr>
          <w:rFonts w:ascii="Times New Roman" w:hAnsi="Times New Roman" w:cs="Times New Roman"/>
          <w:b/>
          <w:sz w:val="28"/>
          <w:szCs w:val="28"/>
        </w:rPr>
      </w:pPr>
    </w:p>
    <w:p w:rsidR="00B311FC" w:rsidRPr="00046A75" w:rsidRDefault="00B311FC" w:rsidP="007A6E15">
      <w:pPr>
        <w:shd w:val="clear" w:color="auto" w:fill="FFFFFF"/>
        <w:ind w:left="860" w:firstLine="54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F54ED" w:rsidRPr="007A6E15" w:rsidRDefault="007A6E15" w:rsidP="007A6E15">
      <w:pPr>
        <w:shd w:val="clear" w:color="auto" w:fill="FFFFFF"/>
        <w:ind w:left="860" w:firstLine="54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СТЕНОЗИ ПІЛОРИЧНОГО ВІДДІЛУ ШЛУНКУ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За даними різних авторів, частота вродженого пілоростенозу коливається в межах від 0,8 до 4 випадків на 1000 новонароджених (Ю.Ф. Ісаков, Е.О. Степанов, Т.В. Красовська, 1988). Захворювання є генетично гетерогенним, сімейно-спадкове походження виявлено майже у 7%</w:t>
      </w: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Співвідношення хлопчиків і дівчаток 4:1.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його основі лежить порушення прохідності воротарної частини (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pars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pylorica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) шлунка, яка обумовлена вадою її будови: гіперплазією та гіпертрофією гладеньких м'язових волокон колового (циркулярного) шару, відсутністю чіткого розмежування колового і поздовжнього шарів, наявністю великої кількості сполучнотканинних волокнистих структур. При пілоростенозі виявляють дегенеративні зміни нервових клітин.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Клініка та діагностика.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За наявності класичної картини вродженого пілоростенозу встановлення діагнозу не складне. Основними клінічними симптомами є:</w:t>
      </w:r>
    </w:p>
    <w:p w:rsidR="001F54ED" w:rsidRPr="00730908" w:rsidRDefault="001F54ED" w:rsidP="00B311F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•  блювання, як правило, без домішок жовчі, у вигляді фонтану;</w:t>
      </w:r>
    </w:p>
    <w:p w:rsidR="001F54ED" w:rsidRPr="00730908" w:rsidRDefault="001F54ED" w:rsidP="00B311F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• гіперперистальтика шлунка в епігастральній ділянці за типом піскового годинника;</w:t>
      </w:r>
    </w:p>
    <w:p w:rsidR="001F54ED" w:rsidRPr="00730908" w:rsidRDefault="001F54ED" w:rsidP="00B311F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•  зниження маси тіла;</w:t>
      </w:r>
    </w:p>
    <w:p w:rsidR="001F54ED" w:rsidRPr="00730908" w:rsidRDefault="001F54ED" w:rsidP="00B311F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•  закреп;</w:t>
      </w:r>
    </w:p>
    <w:p w:rsidR="001F54ED" w:rsidRPr="00730908" w:rsidRDefault="001F54ED" w:rsidP="00B311F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•  зменшення кількості сечовипускань.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Залежно від часу появи перших симптомів і характеру перебігу захворювання Н.С. Манкіна розрізняє його гостру та затяжну стадії. Аналіз даних спостережень за дітьми нашої клініки свідчить про те, що типова картина захворювання є в дітей віком 3—4 тижня, у яких є стеноз пілоруса важкого ступеня.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новонароджених перших двох тижнів життя, недоношених дітей, а також з пілоростенозом легкого ступеня класична картина хвороби відсутня, що, можливо, і є однією з причин пізньої діагностики захворювання.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Спочатку з'являється блювання фонтаном між годуваннями. Блювотні маси мають застійний характер, за типом зсілого молока з кислим запахом, об'єм їх значно перевищує об'єм одного годування.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Дитина худне, з'являються ознаки зневоднення, що супроводжується рідшими сечовипусканнями та мізерними випорожненнями. За гострої форми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захворювання в клініці переважають симптоми дегідратації 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ступенів та декомпенсованого алкалозу.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разі підгострого перебігу захворювання симптоми розвиваються повільно: спочатку зригування, потім одно- або дворазове блювання, яке частішає та призводить до гіпотрофії. Ця форма не супроводжується вираженими порушеннями водно-електролітного обміну.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Під час огляду дитини звертають увагу на ступінь вираженості гіпотрофії та ексикозу. Ступінь вираженості гіпотрофії знаходиться у прямій залежності від тривалості клінічних проявів пілоростенозу. За нашими даними нормотрофія зустрічається у 6%, гіпотрофія 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ступеня у 30,2%, другого ступеня у 35,6%, 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ступеня у 28,2%. Для виявлення перистальтики шлунка дитину кладуть на спину і спостерігають за нею протягом 10—15 хв. У сумнівних випадках для появи перистальтичної хвилі дитині дають випити з пляшки із соскою 10 мл 5 % розчину глюкози або молока і легко погладжують рукою в епігастральній ділянці (верхній квадрант живота). Видима перистальтика шлунка нагадує за формою пісковий годинник: між розширеною верхньою та нижньою хвилею є чітке звуження. Періодично ці хвилі можуть повторюватися. Під час пальпації живота часто можна визначити гіпертрофований воротар.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Під час лабораторного дослідження виявляють ознаки згущення крові: підвищення вмісту гемоглобіну та гематокриту, ознаки метаболічного алкалозу, гіпокаліємію, гіпохлоремію. Рівень гастрина та соматостатина у дітей з вродженим пілоростенозом перевищує контрольні показники, особливо у дітей з гострим перебігом (Соловйов А.Є., Спахи О.В. та інші, 2007).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Під час рентгенологічного дослідження (5</w:t>
      </w: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%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водну суспензію барію сульфату розводять грудним молоком в об'ємі 50—60 мл) через 30 хвилин визначається сегментоподібна перистальтика шлунка й затримка первинної евакуації шлункового вмісту в дванадцятипалу кишку.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нормі в новонароджених і немовлят повна евакуація шлункового вмісту відбувається протягом 2,5—3 годин і починається вона з перших хвилин приймання контрастної речовини.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При вродженому пілоростенозі відзначається затримка евакуації шлункового вмісту. Залежно від ступеня звуження і спазму воротаря повне звільнення шлунка відбувається протягом 6 — 10 годин, а іноді до 36 год. В останні роки рентгенологи надають великого діагностичного значення симптому звуження та подовження воротарного каналу. Воротарна печера (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antrum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pyloricum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) виявляється</w:t>
      </w:r>
      <w:r w:rsidRPr="00730908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у вигляді дзьоба або тонкої стрічки. На її краях виявляють вдавлювання та подовжений, не заповнений барію сульфатом проміжок між воротарною печерою та цибулиною дванадцятипалої кишки.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Найбільш перспективним і достовірним для діагностики пілоростенозу є застосування фіброезофагогастродуоденоскопії (ФГДС). На основі цього дослідження Ю.Ф. Ісаков зі співавторами розробили класифікацію вродженого пілоростенозу (табл. 1):</w:t>
      </w:r>
    </w:p>
    <w:p w:rsidR="001F54ED" w:rsidRPr="00730908" w:rsidRDefault="001F54ED" w:rsidP="001F54ED">
      <w:pPr>
        <w:shd w:val="clear" w:color="auto" w:fill="FFFFFF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ind w:firstLine="54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30908">
        <w:rPr>
          <w:rFonts w:ascii="Times New Roman" w:hAnsi="Times New Roman" w:cs="Times New Roman"/>
          <w:b/>
          <w:color w:val="000000"/>
          <w:sz w:val="20"/>
          <w:szCs w:val="20"/>
        </w:rPr>
        <w:t>Класифікація вродженого пілоростенозу</w:t>
      </w:r>
    </w:p>
    <w:tbl>
      <w:tblPr>
        <w:tblW w:w="9498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588"/>
        <w:gridCol w:w="1080"/>
        <w:gridCol w:w="1649"/>
        <w:gridCol w:w="2487"/>
      </w:tblGrid>
      <w:tr w:rsidR="001F54ED" w:rsidRPr="00730908" w:rsidTr="00946F1A">
        <w:trPr>
          <w:trHeight w:val="1160"/>
        </w:trPr>
        <w:tc>
          <w:tcPr>
            <w:tcW w:w="141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276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Перебіг</w:t>
            </w:r>
          </w:p>
        </w:tc>
        <w:tc>
          <w:tcPr>
            <w:tcW w:w="158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Прояви</w:t>
            </w:r>
          </w:p>
        </w:tc>
        <w:tc>
          <w:tcPr>
            <w:tcW w:w="1080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Серед</w:t>
            </w: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ній </w:t>
            </w:r>
            <w:r w:rsidRPr="00A85A8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дефіцит</w:t>
            </w:r>
            <w:r w:rsidRPr="00A85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маси тіла, %</w:t>
            </w:r>
          </w:p>
        </w:tc>
        <w:tc>
          <w:tcPr>
            <w:tcW w:w="1649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Порушення</w:t>
            </w:r>
          </w:p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КОС,</w:t>
            </w:r>
          </w:p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електролітного балансу</w:t>
            </w:r>
          </w:p>
        </w:tc>
        <w:tc>
          <w:tcPr>
            <w:tcW w:w="2487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Дані ендоскопічного дослідження</w:t>
            </w:r>
          </w:p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(ФГДС)</w:t>
            </w:r>
          </w:p>
        </w:tc>
      </w:tr>
      <w:tr w:rsidR="001F54ED" w:rsidRPr="00730908" w:rsidTr="00946F1A">
        <w:trPr>
          <w:trHeight w:val="1820"/>
        </w:trPr>
        <w:tc>
          <w:tcPr>
            <w:tcW w:w="141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Пролабуючий (70%)</w:t>
            </w:r>
          </w:p>
        </w:tc>
        <w:tc>
          <w:tcPr>
            <w:tcW w:w="1276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Гострий</w:t>
            </w:r>
          </w:p>
        </w:tc>
        <w:tc>
          <w:tcPr>
            <w:tcW w:w="158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2-му місяці, зригування з З-4-го</w:t>
            </w:r>
            <w:r w:rsidRPr="00A85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тижня, блювання рідке, фонтаном,</w:t>
            </w:r>
          </w:p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великим об'ємом</w:t>
            </w:r>
          </w:p>
        </w:tc>
        <w:tc>
          <w:tcPr>
            <w:tcW w:w="1080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49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Різке порушення: </w:t>
            </w: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алкалоз, </w:t>
            </w: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дефіцит електролітів</w:t>
            </w:r>
          </w:p>
        </w:tc>
        <w:tc>
          <w:tcPr>
            <w:tcW w:w="2487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Складки гіпертрофованої слизової оболонки</w:t>
            </w:r>
          </w:p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пролабують у просвіт воротарної печери. Воротар непрохідний для тубуса </w:t>
            </w: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ендоскопа</w:t>
            </w:r>
          </w:p>
        </w:tc>
      </w:tr>
      <w:tr w:rsidR="001F54ED" w:rsidRPr="00730908" w:rsidTr="00946F1A">
        <w:trPr>
          <w:trHeight w:val="1800"/>
        </w:trPr>
        <w:tc>
          <w:tcPr>
            <w:tcW w:w="141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Лійкопо-дібний</w:t>
            </w:r>
          </w:p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(25%)</w:t>
            </w:r>
          </w:p>
        </w:tc>
        <w:tc>
          <w:tcPr>
            <w:tcW w:w="1276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Підгострим</w:t>
            </w:r>
          </w:p>
        </w:tc>
        <w:tc>
          <w:tcPr>
            <w:tcW w:w="158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міс, зриг</w:t>
            </w: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ування </w:t>
            </w: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2-го тижня, блювання після кожного годування</w:t>
            </w:r>
          </w:p>
        </w:tc>
        <w:tc>
          <w:tcPr>
            <w:tcW w:w="1080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49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Незначні</w:t>
            </w:r>
          </w:p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порушення</w:t>
            </w:r>
          </w:p>
        </w:tc>
        <w:tc>
          <w:tcPr>
            <w:tcW w:w="2487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Звуження воротаря у вигляді лійки, воротар</w:t>
            </w:r>
          </w:p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непрохідний.</w:t>
            </w:r>
          </w:p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Антральний гастрит, рефлюкс-езофагіт у 65</w:t>
            </w:r>
            <w:r w:rsidRPr="00A85A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% </w:t>
            </w: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випадків</w:t>
            </w:r>
          </w:p>
        </w:tc>
      </w:tr>
      <w:tr w:rsidR="001F54ED" w:rsidRPr="00730908" w:rsidTr="00946F1A">
        <w:trPr>
          <w:trHeight w:val="1860"/>
        </w:trPr>
        <w:tc>
          <w:tcPr>
            <w:tcW w:w="141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Несформо-ваний</w:t>
            </w:r>
          </w:p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(5%)</w:t>
            </w:r>
          </w:p>
        </w:tc>
        <w:tc>
          <w:tcPr>
            <w:tcW w:w="1276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Повільний</w:t>
            </w:r>
          </w:p>
        </w:tc>
        <w:tc>
          <w:tcPr>
            <w:tcW w:w="1588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Непостійні</w:t>
            </w:r>
          </w:p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зригування,</w:t>
            </w:r>
          </w:p>
          <w:p w:rsidR="001F54ED" w:rsidRPr="00A85A80" w:rsidRDefault="001F54ED" w:rsidP="00946F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рідке блювання</w:t>
            </w:r>
          </w:p>
        </w:tc>
        <w:tc>
          <w:tcPr>
            <w:tcW w:w="1080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9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Немає</w:t>
            </w:r>
          </w:p>
        </w:tc>
        <w:tc>
          <w:tcPr>
            <w:tcW w:w="2487" w:type="dxa"/>
            <w:shd w:val="clear" w:color="auto" w:fill="FFFFFF"/>
          </w:tcPr>
          <w:p w:rsidR="001F54ED" w:rsidRPr="00A85A80" w:rsidRDefault="001F54ED" w:rsidP="00946F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Асиметричне звуження воротарного каналу внаслідок запалення і набряку слизової оболонки, у 20 </w:t>
            </w:r>
            <w:r w:rsidRPr="00A85A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% </w:t>
            </w:r>
            <w:r w:rsidRPr="00A8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випадків тубус проходить</w:t>
            </w:r>
          </w:p>
        </w:tc>
      </w:tr>
    </w:tbl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Фіброезофагогастродуоденоскопія дає можливість оцінити не тільки ступінь непрохідності воротарної частини шлунка, але й оглянути стравохід, визначити ступінь вираженості рефлюкс-езофагіту.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Використовується також сонографічна (УЗД) діагностика вродженого пілоростенозу, яка, за даними Н. Ке</w:t>
      </w:r>
      <w:r w:rsidRPr="00730908">
        <w:rPr>
          <w:rFonts w:ascii="Times New Roman" w:hAnsi="Times New Roman" w:cs="Times New Roman"/>
          <w:color w:val="000000"/>
          <w:sz w:val="28"/>
          <w:szCs w:val="28"/>
          <w:lang w:val="en-US"/>
        </w:rPr>
        <w:t>ll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ег (1987), у 91—100</w:t>
      </w: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%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випадків допомагає у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встановленні діагнозу. При УЗД пілоричного відділу – наявність довжини воротаря шлунка більше </w:t>
      </w:r>
      <w:smartTag w:uri="urn:schemas-microsoft-com:office:smarttags" w:element="metricconverter">
        <w:smartTagPr>
          <w:attr w:name="ProductID" w:val="16 мм"/>
        </w:smartTagPr>
        <w:r w:rsidRPr="00730908">
          <w:rPr>
            <w:rFonts w:ascii="Times New Roman" w:hAnsi="Times New Roman" w:cs="Times New Roman"/>
            <w:color w:val="000000"/>
            <w:sz w:val="28"/>
            <w:szCs w:val="28"/>
          </w:rPr>
          <w:t>16 мм</w:t>
        </w:r>
      </w:smartTag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, збільшення діаметра пілоруса більше </w:t>
      </w:r>
      <w:smartTag w:uri="urn:schemas-microsoft-com:office:smarttags" w:element="metricconverter">
        <w:smartTagPr>
          <w:attr w:name="ProductID" w:val="14 мм"/>
        </w:smartTagPr>
        <w:r w:rsidRPr="00730908">
          <w:rPr>
            <w:rFonts w:ascii="Times New Roman" w:hAnsi="Times New Roman" w:cs="Times New Roman"/>
            <w:color w:val="000000"/>
            <w:sz w:val="28"/>
            <w:szCs w:val="28"/>
          </w:rPr>
          <w:t>14 мм</w:t>
        </w:r>
      </w:smartTag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, товщина м’язового шару більше </w:t>
      </w:r>
      <w:smartTag w:uri="urn:schemas-microsoft-com:office:smarttags" w:element="metricconverter">
        <w:smartTagPr>
          <w:attr w:name="ProductID" w:val="4 мм"/>
        </w:smartTagPr>
        <w:r w:rsidRPr="00730908">
          <w:rPr>
            <w:rFonts w:ascii="Times New Roman" w:hAnsi="Times New Roman" w:cs="Times New Roman"/>
            <w:color w:val="000000"/>
            <w:sz w:val="28"/>
            <w:szCs w:val="28"/>
          </w:rPr>
          <w:t>4 мм</w:t>
        </w:r>
      </w:smartTag>
      <w:r w:rsidRPr="007309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Диференціальну діагностику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проводять з пілороспазмом, псевдопілоростенозом (адреногенітальний синдром Дебре — Фібігера), вадами розвитку дванадцятипалої кишки, шлунково-стравохідним рефлюксом.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При пілороспазмі внаслідок вегетосудинної дистонії за симпатичним типом перші ознаки захворювання виникають невдовзі після народження — часте блювання невеликим об'ємом, його кількість менша від об'єму одного годування, дитина набирає масу тіла, рідко спостерігають перистальтику шлунка. Досить інформативною для виключення пілороспазму є спазмолітична терапія або призначення 0,1 </w:t>
      </w: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%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розчину атропіну сульфату по 2 краплі на </w:t>
      </w:r>
      <w:smartTag w:uri="urn:schemas-microsoft-com:office:smarttags" w:element="metricconverter">
        <w:smartTagPr>
          <w:attr w:name="ProductID" w:val="1 кг"/>
        </w:smartTagPr>
        <w:r w:rsidRPr="00730908">
          <w:rPr>
            <w:rFonts w:ascii="Times New Roman" w:hAnsi="Times New Roman" w:cs="Times New Roman"/>
            <w:color w:val="000000"/>
            <w:sz w:val="28"/>
            <w:szCs w:val="28"/>
          </w:rPr>
          <w:t>1 кг</w:t>
        </w:r>
      </w:smartTag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маси тіла на</w:t>
      </w: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добу, добову дозу поділяють на 3—4 прийоми за 15 хвилин до годування. У разі гіпертрофічного сте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softHyphen/>
        <w:t>нозу воротаря курс медикаментозної терапії неефективний.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Псевдопілоростеноз (адреногенітальний синдром Дебре—Фібігера)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— захворювання супроводжується блюванням фонтаном, інколи з домішками жовчі, зменшенням маси тіла, адинамією, ексикозом, схильністю до проносу. Ознаки виявляють у перші 3—4 тижня життя новонародженого. Патогенез даного захворювання складний і полягав в тому, що в корковій речовині надниркових залоз порушується ферментативний синтез глюкокортикоїдів, кінцевим продуктом якого є гідрокортизон, який надходить у кров. Унаслідок зниження його вмісту виникає гіперфункція гіпофіза, що призводить до синтезу великої кількості адренокортикотропного гормону, який стимулює функцію кіркової речовини надниркових залоз. Розвивається їх гіперфункція й гіперплазія. Гіперфункція є причиною утворення великої кількості андрогенів та альдостерону, який сприяє виведенню іонів натрію. У результаті втрати іонів натрію й хлору з сечею підвищується вміст калію в крові. Тому диференціальна діагностика з пілоростенозом полягає перш за все у визначенні рівня калію в крові. При пілоростенозі вміст цього електроліту в межах норми, іноді — гіпокаліємія. ФГДС і рентгенологічне дослідження виявляє незмінену прохідність пілоруса (воротаря).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випадку атрезії пілоруса або повної його непрохідності внаслідок закриття просвіту мембраною або дуплікації шлунка у воротарній частині блювання без домішків жовчі з'являється з перших годин життя дитини.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На оглядовій рентгенограмі шлунок розтягнений, газ у петлях товстої кишки відсутній. Не виключена регургітація контрастної речовини в кардіальний відділ стравоходу.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високій вродженій кишковій непрохідності на рівні дванадцятипалої кишки блювання виникає в 1-шу добу після народження. Під час рентгенологічного дослідження органів черевної порожнини виявляють два рівня рідини в шлунку та дванадцятипалій кишці, при цьому остання розширена.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Для шлунково-стравохідного рефлюксу характерний початок захворювання практично з народження, що проявляється блюванням та регургітацією шлункового вмісту у положенні дитини лежачи.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Наявність фіброзно-виразкового езофагіту, зіяння кардіального відділу стравоходу та шлунково-стравохідного рефлюксу підтверджується ендоскопічним та рентгенологічним дослідженнями.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Лікування.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Вроджений пілоростеноз потребує оперативного лікування. Передопераційна підготовка спрямована на корекцію гіпопротеїнемії, гіпокаліємії й алкалозу.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Виконують пілороміотомію за Фреде—Рамштедтом (мал. 7). Розтинають серозний шар і тупим шляхом розділяють м'язовий шар до пролабування слизової оболонки пілорусу.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За інтраопераційною оцінкою стану воротаря макроскопічно вирізняють дві його різновидності: “цупка оліва” (тверда, хрящоподібна консистенція) та “м’яка оліва” (плотноеластична консистенція). Гострий варіант клінічного перебігу відповідає “цупкій оліві”, підгострий та хронічний перебіг “м’якій оліві” (О.В.Спахі та інші, 2004).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В останній час пропонується подвійна пілороміотомія та використання лапароскопічного лікування вродженого гіпертрофічного пілоростенозу (А.Є.Соловйов та інші, 2005).</w:t>
      </w:r>
    </w:p>
    <w:p w:rsidR="001F54ED" w:rsidRPr="00730908" w:rsidRDefault="001F54ED" w:rsidP="001F54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5715</wp:posOffset>
            </wp:positionV>
            <wp:extent cx="3265170" cy="2289175"/>
            <wp:effectExtent l="19050" t="0" r="0" b="0"/>
            <wp:wrapSquare wrapText="right"/>
            <wp:docPr id="178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28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bCs/>
          <w:color w:val="000000"/>
          <w:sz w:val="28"/>
          <w:szCs w:val="28"/>
        </w:rPr>
        <w:t>Мал. 7.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 Пілороміотомія за Фреде-Рамштедтом (схема за Ю.Ф. Ісаковим):</w:t>
      </w: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а, б —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 xml:space="preserve">розріз у безсудинній </w:t>
      </w:r>
      <w:r w:rsidRPr="00730908">
        <w:rPr>
          <w:rFonts w:ascii="Times New Roman" w:hAnsi="Times New Roman" w:cs="Times New Roman"/>
          <w:bCs/>
          <w:color w:val="000000"/>
          <w:sz w:val="28"/>
          <w:szCs w:val="28"/>
        </w:rPr>
        <w:t>зоні</w:t>
      </w: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; </w:t>
      </w: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в, г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— ліквідація ускладнення</w:t>
      </w: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Під час пілороміотомії можуть виникнути два ускладнення: розтин слизової оболонки дванадцятипалої кишки та кровотеча з рани пілоруса. Тому</w:t>
      </w:r>
      <w:r w:rsidRPr="007309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обов'язковим є контроль цілостності слизової оболонки пілоричної частини, гемостазу.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За відсутності ускладнень через 3 — 6 годин після операції дитину починають поїти по 5—10 мл ізотонічним розчином натрію хлориду, а потім зцідженим грудним молоком по 5— 10 мл через кожні 2 год. Між годуваннями дають по 10 мл 5% розчину глюкози. З 2-го дня об'єм одного годування становить 20 мл, 3-го — 30 мл, 4-го — 40 мл, 5-го - 50 мл. На 6-ту добу дитина отримує по 60 — 70 мл молока через кожні 3 години, а потім її переводять на звичайне грудне годування з обов'язковим щоденним зважуванням.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післяопераційний період, особливо в перші 2 доби, проводять парентеральне харчування та інфузійну терапію, спрямовані на корекцію дефіциту рідини, білка, електролітів. Крім того, призначають мікроклізми з розчином Рінгера—Локка і 5% роз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чином </w:t>
      </w:r>
      <w:r w:rsidRPr="007309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глюкози </w:t>
      </w:r>
      <w:r w:rsidRPr="00730908">
        <w:rPr>
          <w:rFonts w:ascii="Times New Roman" w:hAnsi="Times New Roman" w:cs="Times New Roman"/>
          <w:color w:val="000000"/>
          <w:sz w:val="28"/>
          <w:szCs w:val="28"/>
        </w:rPr>
        <w:t>по 25—30 мл 4—5 разів на добу.</w:t>
      </w:r>
    </w:p>
    <w:p w:rsidR="001F54ED" w:rsidRPr="00730908" w:rsidRDefault="001F54ED" w:rsidP="001F54E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908">
        <w:rPr>
          <w:rFonts w:ascii="Times New Roman" w:hAnsi="Times New Roman" w:cs="Times New Roman"/>
          <w:color w:val="000000"/>
          <w:sz w:val="28"/>
          <w:szCs w:val="28"/>
        </w:rPr>
        <w:t>У віддаленому періоді може виникнути рецидив пілоростенозу, що пов’язано з недостатнім розділом м’язового шару, що відноситься до технічних помилок (0,67%). Крім того після операції мають місце порушення гастродуоденального переходу, які характеризуються різним ступенем “диспластичного рефлекс-стенозу”, що підвищує ризик виникнення гастродуоденіту та виразкової хвороби 12-палої кишки (О.В.Спахі та інші, 2004).</w:t>
      </w:r>
    </w:p>
    <w:p w:rsidR="001F54ED" w:rsidRDefault="001F54ED" w:rsidP="00730908">
      <w:pPr>
        <w:pStyle w:val="western"/>
        <w:shd w:val="clear" w:color="auto" w:fill="FFFFFF"/>
        <w:spacing w:after="0" w:afterAutospacing="0" w:line="360" w:lineRule="atLeast"/>
        <w:ind w:firstLine="706"/>
        <w:jc w:val="both"/>
        <w:rPr>
          <w:color w:val="000000"/>
          <w:sz w:val="28"/>
          <w:szCs w:val="28"/>
        </w:rPr>
      </w:pPr>
      <w:r w:rsidRPr="00730908">
        <w:rPr>
          <w:color w:val="000000"/>
          <w:sz w:val="28"/>
          <w:szCs w:val="28"/>
        </w:rPr>
        <w:t>Прогноз сприятливий. Після виписування з лікарні дитина перебуває під наглядом педіатра і дитячого хірурга поліклініки, де проводиться корекція авітамінозу й гіпотрофії.</w:t>
      </w:r>
    </w:p>
    <w:sectPr w:rsidR="001F54ED" w:rsidSect="00B226C6">
      <w:footerReference w:type="default" r:id="rId8"/>
      <w:pgSz w:w="11906" w:h="16838"/>
      <w:pgMar w:top="709" w:right="991" w:bottom="567" w:left="1134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1E5" w:rsidRDefault="007131E5" w:rsidP="00B226C6">
      <w:pPr>
        <w:spacing w:after="0" w:line="240" w:lineRule="auto"/>
      </w:pPr>
      <w:r>
        <w:separator/>
      </w:r>
    </w:p>
  </w:endnote>
  <w:endnote w:type="continuationSeparator" w:id="0">
    <w:p w:rsidR="007131E5" w:rsidRDefault="007131E5" w:rsidP="00B2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78063"/>
      <w:docPartObj>
        <w:docPartGallery w:val="Page Numbers (Bottom of Page)"/>
        <w:docPartUnique/>
      </w:docPartObj>
    </w:sdtPr>
    <w:sdtEndPr/>
    <w:sdtContent>
      <w:p w:rsidR="00B226C6" w:rsidRDefault="00201255">
        <w:pPr>
          <w:pStyle w:val="a7"/>
          <w:jc w:val="right"/>
        </w:pPr>
        <w:r>
          <w:fldChar w:fldCharType="begin"/>
        </w:r>
        <w:r w:rsidR="006A770E">
          <w:instrText xml:space="preserve"> PAGE   \* MERGEFORMAT </w:instrText>
        </w:r>
        <w:r>
          <w:fldChar w:fldCharType="separate"/>
        </w:r>
        <w:r w:rsidR="00046A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26C6" w:rsidRDefault="00B226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1E5" w:rsidRDefault="007131E5" w:rsidP="00B226C6">
      <w:pPr>
        <w:spacing w:after="0" w:line="240" w:lineRule="auto"/>
      </w:pPr>
      <w:r>
        <w:separator/>
      </w:r>
    </w:p>
  </w:footnote>
  <w:footnote w:type="continuationSeparator" w:id="0">
    <w:p w:rsidR="007131E5" w:rsidRDefault="007131E5" w:rsidP="00B2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F67A5"/>
    <w:multiLevelType w:val="singleLevel"/>
    <w:tmpl w:val="CE08977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15424ABB"/>
    <w:multiLevelType w:val="hybridMultilevel"/>
    <w:tmpl w:val="54D292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36C2E"/>
    <w:multiLevelType w:val="hybridMultilevel"/>
    <w:tmpl w:val="FDDC7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5859F1"/>
    <w:multiLevelType w:val="singleLevel"/>
    <w:tmpl w:val="6AE8B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24464CDB"/>
    <w:multiLevelType w:val="hybridMultilevel"/>
    <w:tmpl w:val="9D9AA4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61E18"/>
    <w:multiLevelType w:val="multilevel"/>
    <w:tmpl w:val="3622202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6" w15:restartNumberingAfterBreak="0">
    <w:nsid w:val="2D68342B"/>
    <w:multiLevelType w:val="multilevel"/>
    <w:tmpl w:val="878A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D4509"/>
    <w:multiLevelType w:val="hybridMultilevel"/>
    <w:tmpl w:val="4212FE50"/>
    <w:lvl w:ilvl="0" w:tplc="DD687EE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881D77"/>
    <w:multiLevelType w:val="singleLevel"/>
    <w:tmpl w:val="413E3AD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3783619E"/>
    <w:multiLevelType w:val="hybridMultilevel"/>
    <w:tmpl w:val="A6F450BA"/>
    <w:lvl w:ilvl="0" w:tplc="34481F2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</w:lvl>
    <w:lvl w:ilvl="1" w:tplc="77CC2F32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8BC462D"/>
    <w:multiLevelType w:val="multilevel"/>
    <w:tmpl w:val="00900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B7F29"/>
    <w:multiLevelType w:val="hybridMultilevel"/>
    <w:tmpl w:val="371209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D479A"/>
    <w:multiLevelType w:val="hybridMultilevel"/>
    <w:tmpl w:val="63E6D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017AB"/>
    <w:multiLevelType w:val="singleLevel"/>
    <w:tmpl w:val="572239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56CF0751"/>
    <w:multiLevelType w:val="hybridMultilevel"/>
    <w:tmpl w:val="AD005C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621BA"/>
    <w:multiLevelType w:val="hybridMultilevel"/>
    <w:tmpl w:val="229637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284D"/>
    <w:multiLevelType w:val="hybridMultilevel"/>
    <w:tmpl w:val="438232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C7F0B"/>
    <w:multiLevelType w:val="multilevel"/>
    <w:tmpl w:val="33EA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AE7026"/>
    <w:multiLevelType w:val="hybridMultilevel"/>
    <w:tmpl w:val="12D27A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B1B85"/>
    <w:multiLevelType w:val="hybridMultilevel"/>
    <w:tmpl w:val="EDE627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3B52BAA"/>
    <w:multiLevelType w:val="hybridMultilevel"/>
    <w:tmpl w:val="C56652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7"/>
  </w:num>
  <w:num w:numId="5">
    <w:abstractNumId w:val="6"/>
  </w:num>
  <w:num w:numId="6">
    <w:abstractNumId w:val="15"/>
  </w:num>
  <w:num w:numId="7">
    <w:abstractNumId w:val="18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4"/>
  </w:num>
  <w:num w:numId="13">
    <w:abstractNumId w:val="20"/>
  </w:num>
  <w:num w:numId="14">
    <w:abstractNumId w:val="3"/>
  </w:num>
  <w:num w:numId="15">
    <w:abstractNumId w:val="8"/>
  </w:num>
  <w:num w:numId="16">
    <w:abstractNumId w:val="5"/>
  </w:num>
  <w:num w:numId="17">
    <w:abstractNumId w:val="0"/>
  </w:num>
  <w:num w:numId="18">
    <w:abstractNumId w:val="13"/>
  </w:num>
  <w:num w:numId="1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3775"/>
    <w:rsid w:val="00042213"/>
    <w:rsid w:val="00046A75"/>
    <w:rsid w:val="00133D6F"/>
    <w:rsid w:val="001B2803"/>
    <w:rsid w:val="001B2B21"/>
    <w:rsid w:val="001C77D8"/>
    <w:rsid w:val="001E6C2C"/>
    <w:rsid w:val="001F54ED"/>
    <w:rsid w:val="00200EFA"/>
    <w:rsid w:val="00201255"/>
    <w:rsid w:val="00247991"/>
    <w:rsid w:val="002D2BCC"/>
    <w:rsid w:val="002E7CBC"/>
    <w:rsid w:val="003145DB"/>
    <w:rsid w:val="003236A2"/>
    <w:rsid w:val="00347BC0"/>
    <w:rsid w:val="003E03FF"/>
    <w:rsid w:val="003E4765"/>
    <w:rsid w:val="004C726D"/>
    <w:rsid w:val="00544D4A"/>
    <w:rsid w:val="00577B9E"/>
    <w:rsid w:val="005C1452"/>
    <w:rsid w:val="005F5031"/>
    <w:rsid w:val="00600E4C"/>
    <w:rsid w:val="0060129D"/>
    <w:rsid w:val="006243B0"/>
    <w:rsid w:val="00673298"/>
    <w:rsid w:val="006A770E"/>
    <w:rsid w:val="006C3775"/>
    <w:rsid w:val="006D29CF"/>
    <w:rsid w:val="006D58AC"/>
    <w:rsid w:val="006E7145"/>
    <w:rsid w:val="007131E5"/>
    <w:rsid w:val="00726E60"/>
    <w:rsid w:val="00730908"/>
    <w:rsid w:val="00734659"/>
    <w:rsid w:val="007A6E15"/>
    <w:rsid w:val="007F7C3E"/>
    <w:rsid w:val="00897682"/>
    <w:rsid w:val="008F4F89"/>
    <w:rsid w:val="009B368F"/>
    <w:rsid w:val="009D0767"/>
    <w:rsid w:val="00A26F04"/>
    <w:rsid w:val="00A83E0D"/>
    <w:rsid w:val="00A85A80"/>
    <w:rsid w:val="00AC2931"/>
    <w:rsid w:val="00B226C6"/>
    <w:rsid w:val="00B311FC"/>
    <w:rsid w:val="00B45B49"/>
    <w:rsid w:val="00B5072D"/>
    <w:rsid w:val="00C4771C"/>
    <w:rsid w:val="00CD6789"/>
    <w:rsid w:val="00CE2AAB"/>
    <w:rsid w:val="00CF64A0"/>
    <w:rsid w:val="00D01810"/>
    <w:rsid w:val="00DB2FB6"/>
    <w:rsid w:val="00DD258B"/>
    <w:rsid w:val="00EF4083"/>
    <w:rsid w:val="00F47EEA"/>
    <w:rsid w:val="00F5771B"/>
    <w:rsid w:val="00F8521B"/>
    <w:rsid w:val="00F9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8445AC"/>
  <w15:docId w15:val="{A34DF942-6DBD-4490-A208-927930D5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C2C"/>
  </w:style>
  <w:style w:type="paragraph" w:styleId="2">
    <w:name w:val="heading 2"/>
    <w:basedOn w:val="a"/>
    <w:next w:val="a"/>
    <w:link w:val="20"/>
    <w:qFormat/>
    <w:rsid w:val="001B2803"/>
    <w:pPr>
      <w:keepNext/>
      <w:spacing w:after="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B2803"/>
    <w:pPr>
      <w:keepNext/>
      <w:spacing w:after="0" w:line="240" w:lineRule="auto"/>
      <w:ind w:firstLine="851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85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1os-nabor">
    <w:name w:val="x1os-nabor"/>
    <w:basedOn w:val="a"/>
    <w:rsid w:val="0060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B2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26C6"/>
    <w:rPr>
      <w:lang w:val="uk-UA"/>
    </w:rPr>
  </w:style>
  <w:style w:type="paragraph" w:styleId="a7">
    <w:name w:val="footer"/>
    <w:basedOn w:val="a"/>
    <w:link w:val="a8"/>
    <w:uiPriority w:val="99"/>
    <w:unhideWhenUsed/>
    <w:rsid w:val="00B2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26C6"/>
    <w:rPr>
      <w:lang w:val="uk-UA"/>
    </w:rPr>
  </w:style>
  <w:style w:type="paragraph" w:styleId="a9">
    <w:name w:val="Plain Text"/>
    <w:basedOn w:val="a"/>
    <w:link w:val="aa"/>
    <w:rsid w:val="001B2803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aa">
    <w:name w:val="Текст Знак"/>
    <w:basedOn w:val="a0"/>
    <w:link w:val="a9"/>
    <w:rsid w:val="001B280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1B2803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1B2803"/>
    <w:rPr>
      <w:rFonts w:ascii="Times New Roman" w:eastAsia="Times New Roman" w:hAnsi="Times New Roman" w:cs="Times New Roman"/>
      <w:caps/>
      <w:sz w:val="28"/>
      <w:szCs w:val="20"/>
      <w:lang w:val="uk-UA" w:eastAsia="ru-RU"/>
    </w:rPr>
  </w:style>
  <w:style w:type="paragraph" w:styleId="ad">
    <w:name w:val="Body Text Indent"/>
    <w:basedOn w:val="a"/>
    <w:link w:val="ae"/>
    <w:semiHidden/>
    <w:rsid w:val="001B280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28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2803"/>
    <w:rPr>
      <w:lang w:val="uk-UA"/>
    </w:rPr>
  </w:style>
  <w:style w:type="character" w:customStyle="1" w:styleId="20">
    <w:name w:val="Заголовок 2 Знак"/>
    <w:basedOn w:val="a0"/>
    <w:link w:val="2"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B28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B2803"/>
    <w:rPr>
      <w:sz w:val="16"/>
      <w:szCs w:val="16"/>
      <w:lang w:val="uk-UA"/>
    </w:rPr>
  </w:style>
  <w:style w:type="paragraph" w:customStyle="1" w:styleId="western">
    <w:name w:val="western"/>
    <w:basedOn w:val="a"/>
    <w:rsid w:val="009D0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0767"/>
  </w:style>
  <w:style w:type="paragraph" w:styleId="af">
    <w:name w:val="Body Text"/>
    <w:basedOn w:val="a"/>
    <w:link w:val="af0"/>
    <w:uiPriority w:val="99"/>
    <w:semiHidden/>
    <w:unhideWhenUsed/>
    <w:rsid w:val="005C145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C1452"/>
  </w:style>
  <w:style w:type="table" w:styleId="af1">
    <w:name w:val="Table Grid"/>
    <w:basedOn w:val="a1"/>
    <w:rsid w:val="001F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1779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jon malkovich</cp:lastModifiedBy>
  <cp:revision>10</cp:revision>
  <cp:lastPrinted>2013-01-16T08:10:00Z</cp:lastPrinted>
  <dcterms:created xsi:type="dcterms:W3CDTF">2013-01-12T12:50:00Z</dcterms:created>
  <dcterms:modified xsi:type="dcterms:W3CDTF">2023-11-28T20:58:00Z</dcterms:modified>
</cp:coreProperties>
</file>